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>МУНИЦИПАЛЬНАЯ ЦЕЛЕВАЯ ПРОГРАММА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>«Комплексное развитие систем коммунальной инфраструктуры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spellStart"/>
      <w:r w:rsidRPr="00CB4FA3">
        <w:rPr>
          <w:rFonts w:eastAsia="Times New Roman" w:cs="Times New Roman"/>
          <w:b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сельского поселения  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color w:val="000000"/>
          <w:szCs w:val="28"/>
          <w:lang w:eastAsia="ru-RU"/>
        </w:rPr>
        <w:t xml:space="preserve">на 2014 – 2016 годы» 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2785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B02785" w:rsidRPr="00CB4FA3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50" w:after="150" w:line="276" w:lineRule="auto"/>
        <w:contextualSpacing/>
        <w:jc w:val="center"/>
        <w:rPr>
          <w:rFonts w:eastAsia="Calibri" w:cs="Times New Roman"/>
          <w:b/>
          <w:bCs/>
          <w:color w:val="000000"/>
          <w:sz w:val="24"/>
        </w:rPr>
      </w:pPr>
      <w:r w:rsidRPr="00CB4FA3">
        <w:rPr>
          <w:rFonts w:eastAsia="Calibri" w:cs="Times New Roman"/>
          <w:b/>
          <w:bCs/>
          <w:color w:val="000000"/>
          <w:sz w:val="24"/>
        </w:rPr>
        <w:lastRenderedPageBreak/>
        <w:t>ПАСПОРТ ПРОГРАММЫ</w:t>
      </w:r>
    </w:p>
    <w:p w:rsidR="00CB4FA3" w:rsidRPr="00CB4FA3" w:rsidRDefault="00CB4FA3" w:rsidP="00CB4FA3">
      <w:pPr>
        <w:spacing w:before="150" w:after="150" w:line="276" w:lineRule="auto"/>
        <w:ind w:left="720"/>
        <w:contextualSpacing/>
        <w:rPr>
          <w:rFonts w:eastAsia="Calibri" w:cs="Times New Roman"/>
          <w:sz w:val="24"/>
        </w:rPr>
      </w:pPr>
    </w:p>
    <w:tbl>
      <w:tblPr>
        <w:tblW w:w="10206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945"/>
      </w:tblGrid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коммунальной инфраструктуры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на 2014 - 2016 годы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федеральные законы:</w:t>
            </w:r>
          </w:p>
          <w:p w:rsidR="00CB4FA3" w:rsidRPr="00CB4FA3" w:rsidRDefault="00736F3B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B4FA3" w:rsidRPr="00CB4FA3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от 6 октября 2003 г. N 131-ФЗ</w:t>
              </w:r>
            </w:hyperlink>
            <w:r w:rsidR="00CB4FA3"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Федерации";</w:t>
            </w:r>
          </w:p>
          <w:p w:rsidR="00CB4FA3" w:rsidRPr="00CB4FA3" w:rsidRDefault="00736F3B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B4FA3" w:rsidRPr="00CB4FA3">
                <w:rPr>
                  <w:rFonts w:eastAsia="Times New Roman" w:cs="Times New Roman"/>
                  <w:b/>
                  <w:bCs/>
                  <w:sz w:val="24"/>
                  <w:szCs w:val="24"/>
                  <w:lang w:eastAsia="ru-RU"/>
                </w:rPr>
                <w:t>от 30 декабря 2004 г. N 210-ФЗ</w:t>
              </w:r>
            </w:hyperlink>
            <w:r w:rsidR="00CB4FA3"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"Об основах регулирования тарифов организаций коммунального комплекса"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цели и задачи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150" w:after="150" w:line="24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комфортных условий проживания населения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поселения;                                                     - улучшение состояния окружающей среды, экологической безопасности развития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поселения;                                </w:t>
            </w: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комплексное решение проблемы перехода к устойчивому функционированию и развитию коммунальной сферы;                     - улучшение качества коммунальных услуг с одновременным снижением нерациональных затрат;- разработка мероприятий по строительству и модернизации объектов коммунальной инфраструктуры;                                           - определение сроков и объема капитальных вложений на реализацию разработанных мероприятий;                                              - определение экономической эффективности от реализации мероприятий.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2014 - 2016 годы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реализация мероприятий Программы позволит: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повысить качество и надежность коммунальных услуг, оказываемых потребителям;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повысить эффективность использования систем коммунальной инфраструктуры;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сократить объем затрат на энергоснабжение объектов коммунального хозяйства;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обеспечить коммунальными ресурсами новых потребителей в соответствии с потребностями жилищного строительства;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улучшить уровень экологического состояния </w:t>
            </w:r>
            <w:proofErr w:type="spellStart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CB4FA3" w:rsidRPr="00CB4FA3" w:rsidTr="00CB4F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A3" w:rsidRPr="00CB4FA3" w:rsidRDefault="00CB4FA3" w:rsidP="00CB4FA3">
            <w:pPr>
              <w:spacing w:before="150" w:after="15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программы реализуются за счет средств бюджета </w:t>
            </w:r>
            <w:proofErr w:type="spellStart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</w:t>
            </w: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предусмотренных на очередной финансовый год и плановый период подлежащих корректировке в соответствии с Положением о бюджете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Акчернского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 на соответствующий финансовый год, а также </w:t>
            </w:r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могут </w:t>
            </w:r>
            <w:proofErr w:type="spellStart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софинансироваться</w:t>
            </w:r>
            <w:proofErr w:type="spellEnd"/>
            <w:r w:rsidRPr="00CB4FA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федерального, областного и районного бюджетов.</w:t>
            </w:r>
          </w:p>
        </w:tc>
      </w:tr>
    </w:tbl>
    <w:p w:rsid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02785" w:rsidRDefault="00B02785" w:rsidP="00CB4FA3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 Введение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 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декабря 2004 года № 210-ФЗ «Об основах регулирования тарифов организаций коммунального комплекса» и в соответствии с Уставом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поселения.                                                       </w:t>
      </w:r>
    </w:p>
    <w:p w:rsidR="00CB4FA3" w:rsidRDefault="00CB4FA3" w:rsidP="00CB4FA3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Программа определяет основные направления развития коммунальной инфраструктуры, то есть объектов  водоснабжения, электроснабжения, газоснабжения, утилизации ТБО, в соответствии с потребностями промышленного, жилищного строительства, в целях повышения качества услуг и улучшения экологического состояния поселения.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 и в полной мере соответствует государственной политике реформирования коммунального комплекса Российской Федерации.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50" w:after="150" w:line="276" w:lineRule="auto"/>
        <w:contextualSpacing/>
        <w:jc w:val="center"/>
        <w:rPr>
          <w:rFonts w:eastAsia="Calibri" w:cs="Times New Roman"/>
          <w:color w:val="000000"/>
          <w:szCs w:val="28"/>
        </w:rPr>
      </w:pPr>
      <w:r w:rsidRPr="00CB4FA3">
        <w:rPr>
          <w:rFonts w:eastAsia="Calibri" w:cs="Times New Roman"/>
          <w:b/>
          <w:bCs/>
          <w:color w:val="000000"/>
          <w:szCs w:val="28"/>
        </w:rPr>
        <w:t xml:space="preserve">Краткая характеристика </w:t>
      </w:r>
      <w:proofErr w:type="spellStart"/>
      <w:r w:rsidRPr="00CB4FA3">
        <w:rPr>
          <w:rFonts w:eastAsia="Calibri" w:cs="Times New Roman"/>
          <w:b/>
          <w:bCs/>
          <w:color w:val="000000"/>
          <w:szCs w:val="28"/>
        </w:rPr>
        <w:t>Акчернского</w:t>
      </w:r>
      <w:proofErr w:type="spellEnd"/>
      <w:r w:rsidRPr="00CB4FA3">
        <w:rPr>
          <w:rFonts w:eastAsia="Calibri" w:cs="Times New Roman"/>
          <w:b/>
          <w:bCs/>
          <w:color w:val="000000"/>
          <w:szCs w:val="28"/>
        </w:rPr>
        <w:t xml:space="preserve"> сельского поселения.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3.1. Общая характеристика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Акчернское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 (число жителей 1339 чел.) находится на территории Урюпинского муниципального района. Территория сельского поселения составляет 1720 кв.км. По северу поселение граничит с Петровским  сельскими поселением, по востоку граничит с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Новоанинским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муниципальным районом, по югу граничит с Дубовским  сельским поселением, по западу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граничитпор</w:t>
      </w:r>
      <w:proofErr w:type="gramStart"/>
      <w:r w:rsidRPr="00CB4FA3">
        <w:rPr>
          <w:rFonts w:eastAsia="Times New Roman" w:cs="Times New Roman"/>
          <w:color w:val="000000"/>
          <w:szCs w:val="28"/>
          <w:lang w:eastAsia="ru-RU"/>
        </w:rPr>
        <w:t>.Х</w:t>
      </w:r>
      <w:proofErr w:type="gramEnd"/>
      <w:r w:rsidRPr="00CB4FA3">
        <w:rPr>
          <w:rFonts w:eastAsia="Times New Roman" w:cs="Times New Roman"/>
          <w:color w:val="000000"/>
          <w:szCs w:val="28"/>
          <w:lang w:eastAsia="ru-RU"/>
        </w:rPr>
        <w:t>опер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 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Россошинским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сельским поселением.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  Согласно Устава муниципальное образование «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Акчернское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поселение» состоит из четырех населенных пунктов: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х.Дьяконовский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1-й (административный центр),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х.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Акчернскиий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х.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Долговский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ст-ца.Тепикинская</w:t>
      </w:r>
      <w:proofErr w:type="spellEnd"/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    По агроэкономическому районированию Волгоградской области, территория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относится к умеренно-жаркому агроклиматическому району, характеризующемуся недостаточным увлажнением. Климат резко континентальный. Среднемесячная температура самого холодного месяца в году (января) равна -11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С, абсолютный минимум достигает  -38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С. Лето жаркое, средняя месячная температура июля +23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>С, максимальная температура достигает +42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0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С. Продолжительность безморозного периода составляет 180 дней. За год выпадает в среднем 400 </w:t>
      </w:r>
      <w:r w:rsidRPr="00CB4FA3">
        <w:rPr>
          <w:rFonts w:eastAsia="Times New Roman" w:cs="Times New Roman"/>
          <w:color w:val="000000"/>
          <w:szCs w:val="28"/>
          <w:lang w:eastAsia="ru-RU"/>
        </w:rPr>
        <w:lastRenderedPageBreak/>
        <w:t>мм осадков, из них 200 мм приходится на теплый период. Преобладающими ветрами являются ветры восточного и юго-восточного направления.  Нормативная глубина промерзания почвы – 1,2 м. Снежный покров  до 0,4 м.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Население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 на 01.01.2013 г. составляет 1339 чел., жилой фонд – 31,1 тыс</w:t>
      </w:r>
      <w:proofErr w:type="gramStart"/>
      <w:r w:rsidRPr="00CB4FA3">
        <w:rPr>
          <w:rFonts w:eastAsia="Times New Roman" w:cs="Times New Roman"/>
          <w:color w:val="000000"/>
          <w:szCs w:val="28"/>
          <w:lang w:eastAsia="ru-RU"/>
        </w:rPr>
        <w:t>.м</w:t>
      </w:r>
      <w:proofErr w:type="gramEnd"/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2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общей площади.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3.2. Характеристика состояния жилищно-коммунального хозяйства </w:t>
      </w:r>
      <w:proofErr w:type="spellStart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достойного жилья (даже в незначительных масштабах) способствует возникновению социальной напряженности.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3.2.1. Система водоснабжения </w:t>
      </w:r>
      <w:proofErr w:type="spellStart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      На территории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имеется централизованная  систему хозяйственно–питьевого водоснабжения, действуют три артезианские скважины, оснащенные насосами производительностью 25м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3 </w:t>
      </w:r>
      <w:r w:rsidRPr="00CB4FA3">
        <w:rPr>
          <w:rFonts w:eastAsia="Times New Roman" w:cs="Times New Roman"/>
          <w:color w:val="000000"/>
          <w:szCs w:val="28"/>
          <w:lang w:eastAsia="ru-RU"/>
        </w:rPr>
        <w:t>/ч. На сетях размещены 3 водонапорные  башни с баками ёмкостью 25 м</w:t>
      </w:r>
      <w:r w:rsidRPr="00CB4FA3">
        <w:rPr>
          <w:rFonts w:eastAsia="Times New Roman" w:cs="Times New Roman"/>
          <w:color w:val="000000"/>
          <w:szCs w:val="28"/>
          <w:vertAlign w:val="superscript"/>
          <w:lang w:eastAsia="ru-RU"/>
        </w:rPr>
        <w:t>3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и высотой столба 15 метров каждая. Водопроводные сети  выполнены из  асбестоцементных труб  диаметром 100 мм различных годов постройки, начиная с 1985 и заканчивая 1990 г.г., общей протяженностью 12, 697 км,  из которых 75% требуют капитального ремонта и полной замены. Этой системой снабжаются водой все объекты социальной сферы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   на хозяйственно-питьевые, противопожарные и производственные нужды.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Жилая застройка хутора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Долговский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и часть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х</w:t>
      </w:r>
      <w:proofErr w:type="gramStart"/>
      <w:r w:rsidRPr="00CB4FA3">
        <w:rPr>
          <w:rFonts w:eastAsia="Times New Roman" w:cs="Times New Roman"/>
          <w:color w:val="000000"/>
          <w:szCs w:val="28"/>
          <w:lang w:eastAsia="ru-RU"/>
        </w:rPr>
        <w:t>.А</w:t>
      </w:r>
      <w:proofErr w:type="gramEnd"/>
      <w:r w:rsidRPr="00CB4FA3">
        <w:rPr>
          <w:rFonts w:eastAsia="Times New Roman" w:cs="Times New Roman"/>
          <w:color w:val="000000"/>
          <w:szCs w:val="28"/>
          <w:lang w:eastAsia="ru-RU"/>
        </w:rPr>
        <w:t>кчернскийснабжаются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водой от индивидуальных шахтных колодцев.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 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3.2.2 Система электроснабжения </w:t>
      </w:r>
      <w:proofErr w:type="spellStart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поселения.</w:t>
      </w:r>
    </w:p>
    <w:p w:rsidR="00B02785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        Электроснабжение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обеспечивается от </w:t>
      </w:r>
      <w:proofErr w:type="spellStart"/>
      <w:proofErr w:type="gramStart"/>
      <w:r w:rsidRPr="00CB4FA3">
        <w:rPr>
          <w:rFonts w:eastAsia="Times New Roman" w:cs="Times New Roman"/>
          <w:color w:val="000000"/>
          <w:szCs w:val="28"/>
          <w:lang w:eastAsia="ru-RU"/>
        </w:rPr>
        <w:t>Вл</w:t>
      </w:r>
      <w:proofErr w:type="spellEnd"/>
      <w:proofErr w:type="gram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- 0,4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кВПС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Тепикинская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ФЗ.  Электроснабжение жилищно-коммунального сектора осуществляется от существующих комплектных ТП 10/0,4 кВ с воздушными вводами 10кВ. Питание ТП выполнено по воздушным линиям 10 кВ.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По балансовой принадлежности электросетевые объекты </w:t>
      </w:r>
      <w:proofErr w:type="spellStart"/>
      <w:r w:rsidRPr="00CB4FA3">
        <w:rPr>
          <w:rFonts w:eastAsia="Times New Roman" w:cs="Times New Roman"/>
          <w:color w:val="03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  сельского поселения относятся к ОАО «МРСК Юга»  филиалу </w:t>
      </w:r>
      <w:r w:rsidRPr="00CB4FA3">
        <w:rPr>
          <w:rFonts w:eastAsia="Times New Roman" w:cs="Times New Roman"/>
          <w:color w:val="030000"/>
          <w:szCs w:val="28"/>
          <w:lang w:eastAsia="ru-RU"/>
        </w:rPr>
        <w:lastRenderedPageBreak/>
        <w:t xml:space="preserve">«Волгоградэнерго» производственному отделению Урюпинские электрические сети. </w:t>
      </w:r>
      <w:r w:rsidRPr="00CB4FA3">
        <w:rPr>
          <w:rFonts w:eastAsia="Times New Roman" w:cs="Times New Roman"/>
          <w:color w:val="000000"/>
          <w:szCs w:val="28"/>
          <w:lang w:eastAsia="ru-RU"/>
        </w:rPr>
        <w:t>Данные о суммарной нагрузке и установленной мощности трансформаторов 10/0,4 кВ ТП жилищно-коммунального сектора отсутствуют.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     3.2.3. Система газоснабжения </w:t>
      </w:r>
      <w:proofErr w:type="spellStart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В настоящее время систему централизованного газоснабжения природным газом в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Акчернском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сельском поселении осуществляет ООО «Газпром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межрегионгаз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Волгоград». Из 535 домовладений газифицировано 400.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    3.2.4. Система утилизации ТБО </w:t>
      </w:r>
      <w:proofErr w:type="spellStart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сельского поселения.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          </w:t>
      </w: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Вывоз ТБО в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Акчернском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 сельском поселении из-за отсутствия  санкционированной свалки осуществляется </w:t>
      </w:r>
      <w:proofErr w:type="gramStart"/>
      <w:r w:rsidRPr="00CB4FA3">
        <w:rPr>
          <w:rFonts w:eastAsia="Times New Roman" w:cs="Times New Roman"/>
          <w:color w:val="000000"/>
          <w:szCs w:val="28"/>
          <w:lang w:eastAsia="ru-RU"/>
        </w:rPr>
        <w:t>физическими</w:t>
      </w:r>
      <w:proofErr w:type="gram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и юридическими на  временные полигоны размещения ТБО, расположенные в 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Акчернском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сельском поселении.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CB4FA3">
      <w:pPr>
        <w:spacing w:before="150" w:after="15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B4FA3" w:rsidRPr="00CB4FA3" w:rsidRDefault="00CB4FA3" w:rsidP="00CB4F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contextualSpacing/>
        <w:jc w:val="center"/>
        <w:rPr>
          <w:rFonts w:eastAsia="Calibri" w:cs="Times New Roman"/>
          <w:b/>
          <w:bCs/>
          <w:color w:val="030000"/>
          <w:szCs w:val="28"/>
        </w:rPr>
      </w:pPr>
      <w:r w:rsidRPr="00CB4FA3">
        <w:rPr>
          <w:rFonts w:eastAsia="Calibri" w:cs="Times New Roman"/>
          <w:b/>
          <w:bCs/>
          <w:color w:val="030000"/>
          <w:szCs w:val="28"/>
        </w:rPr>
        <w:t xml:space="preserve">Содержание проблемы и обоснование необходимости ее решения  </w:t>
      </w:r>
    </w:p>
    <w:p w:rsidR="00CB4FA3" w:rsidRPr="00CB4FA3" w:rsidRDefault="00CB4FA3" w:rsidP="00CB4FA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Из-за недостаточной обеспеченности бюджета поселения капитальный   ремонт водопроводной сети осуществлялся не в полном объеме. В результате современное состояние объектов коммунальной инфраструктуры поселения характеризуется высокой степенью износа основного и вспомогательного оборудования (для большинства объектов процент износа составляет от 60% до 90%). При этом от 15% до 25 % инженерных коммуникаций поселения отслужили нормативный срок.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Следствием высокой степени износа водопроводной сети являются сверхнормативная потеря  воды, низкий коэффициент полезного действия </w:t>
      </w:r>
      <w:proofErr w:type="spellStart"/>
      <w:r w:rsidRPr="00CB4FA3">
        <w:rPr>
          <w:rFonts w:eastAsia="Times New Roman" w:cs="Times New Roman"/>
          <w:color w:val="030000"/>
          <w:szCs w:val="28"/>
          <w:lang w:eastAsia="ru-RU"/>
        </w:rPr>
        <w:t>энергооборудования</w:t>
      </w:r>
      <w:proofErr w:type="spellEnd"/>
      <w:r w:rsidRPr="00CB4FA3">
        <w:rPr>
          <w:rFonts w:eastAsia="Times New Roman" w:cs="Times New Roman"/>
          <w:color w:val="030000"/>
          <w:szCs w:val="28"/>
          <w:lang w:eastAsia="ru-RU"/>
        </w:rPr>
        <w:t>, повышенная аварийность. Количество аварий и нарушений в работе коммунальных объектов выросло в  разы.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функционирования  системы подачи.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          </w:t>
      </w:r>
      <w:proofErr w:type="spellStart"/>
      <w:r w:rsidRPr="00CB4FA3">
        <w:rPr>
          <w:rFonts w:eastAsia="Times New Roman" w:cs="Times New Roman"/>
          <w:color w:val="030000"/>
          <w:szCs w:val="28"/>
          <w:lang w:eastAsia="ru-RU"/>
        </w:rPr>
        <w:t>Дотационность</w:t>
      </w:r>
      <w:proofErr w:type="spellEnd"/>
      <w:r w:rsidRPr="00CB4FA3">
        <w:rPr>
          <w:rFonts w:eastAsia="Times New Roman" w:cs="Times New Roman"/>
          <w:color w:val="030000"/>
          <w:szCs w:val="28"/>
          <w:lang w:eastAsia="ru-RU"/>
        </w:rPr>
        <w:t>  местного бюджета вынуждает бюджет считать как основной,  а часто и единственный финансовый  источник восстановления или    реконструкции муниципального коммунального имущества. При этом: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     отсутствуют экономические стимулы эффективного использования бюджетных средств.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Коммунальный комплекс ежегодно требует увеличения денежных средств для своего функционирования. Параллельно с этим обостряются негативные тенденции - рост степени износа основных фондов, числа </w:t>
      </w:r>
      <w:r w:rsidRPr="00CB4FA3">
        <w:rPr>
          <w:rFonts w:eastAsia="Times New Roman" w:cs="Times New Roman"/>
          <w:color w:val="030000"/>
          <w:szCs w:val="28"/>
          <w:lang w:eastAsia="ru-RU"/>
        </w:rPr>
        <w:lastRenderedPageBreak/>
        <w:t>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инвестиций. Такие масштабные изменения принципов развития отрасли целесообразно реализовать в рамках областной целевой программы.</w:t>
      </w:r>
    </w:p>
    <w:p w:rsidR="00CB4FA3" w:rsidRPr="00CB4FA3" w:rsidRDefault="00CB4FA3" w:rsidP="00CB4FA3">
      <w:pPr>
        <w:spacing w:before="150" w:after="15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5. Цели и задачи Программы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Программа направлена на модернизацию и обновление коммунальной инфраструктуры </w:t>
      </w:r>
      <w:proofErr w:type="spellStart"/>
      <w:r w:rsidRPr="00CB4FA3">
        <w:rPr>
          <w:rFonts w:eastAsia="Times New Roman" w:cs="Times New Roman"/>
          <w:color w:val="000000"/>
          <w:szCs w:val="28"/>
          <w:lang w:eastAsia="ru-RU"/>
        </w:rPr>
        <w:t>Акчернского</w:t>
      </w:r>
      <w:proofErr w:type="spellEnd"/>
      <w:r w:rsidRPr="00CB4FA3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водоснабжения: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надежности водоснабжения;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экологической безопасности в поселении;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соответствие параметров качества питьевой воды  установленным нормативам;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снижение уровня потерь воды;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сокращение удельных эксплуатационных расходов;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улучшение санитарно-гигиенических условий проживания населения.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электроснабжения: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уровня надёжности электроснабжения;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качества электроэнергии у потребителей с одновременным снижением потерь электроэнергии в сетях;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переход на более высокий уровень эксплуатации электрических сетей.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газоснабжения: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повышение надежности газоснабжения;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переход на более высокий уровень эксплуатации газораспределительных  сетей.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 </w:t>
      </w:r>
      <w:r w:rsidRPr="00CB4FA3">
        <w:rPr>
          <w:rFonts w:eastAsia="Times New Roman" w:cs="Times New Roman"/>
          <w:b/>
          <w:bCs/>
          <w:color w:val="000000"/>
          <w:szCs w:val="28"/>
          <w:lang w:eastAsia="ru-RU"/>
        </w:rPr>
        <w:t>Развитие в сфере утилизации ТБО:</w:t>
      </w:r>
    </w:p>
    <w:p w:rsidR="00CB4FA3" w:rsidRPr="00CB4FA3" w:rsidRDefault="00CB4FA3" w:rsidP="00B02785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B4FA3">
        <w:rPr>
          <w:rFonts w:eastAsia="Times New Roman" w:cs="Times New Roman"/>
          <w:color w:val="000000"/>
          <w:szCs w:val="28"/>
          <w:lang w:eastAsia="ru-RU"/>
        </w:rPr>
        <w:t>- улучшение санитарно-гигиенических условий проживания населения;                                     - улучшение качества окружающей среды.</w:t>
      </w:r>
    </w:p>
    <w:p w:rsidR="00CB4FA3" w:rsidRPr="00CB4FA3" w:rsidRDefault="00CB4FA3" w:rsidP="00CB4FA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26"/>
          <w:szCs w:val="26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3B39B3" w:rsidRDefault="003B39B3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B02785" w:rsidRDefault="00B02785" w:rsidP="00CB4FA3">
      <w:pPr>
        <w:spacing w:after="0" w:line="240" w:lineRule="auto"/>
        <w:jc w:val="center"/>
        <w:rPr>
          <w:rFonts w:eastAsia="Times New Roman" w:cs="Times New Roman"/>
          <w:b/>
          <w:bCs/>
          <w:color w:val="030000"/>
          <w:szCs w:val="28"/>
          <w:lang w:eastAsia="ru-RU"/>
        </w:rPr>
      </w:pPr>
    </w:p>
    <w:p w:rsidR="00CB4FA3" w:rsidRPr="00CB4FA3" w:rsidRDefault="00CB4FA3" w:rsidP="00CB4FA3">
      <w:pPr>
        <w:spacing w:after="0" w:line="240" w:lineRule="auto"/>
        <w:jc w:val="center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b/>
          <w:bCs/>
          <w:color w:val="030000"/>
          <w:szCs w:val="28"/>
          <w:lang w:eastAsia="ru-RU"/>
        </w:rPr>
        <w:lastRenderedPageBreak/>
        <w:t>6 . Этапы реализации программы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 xml:space="preserve">           </w:t>
      </w:r>
    </w:p>
    <w:p w:rsidR="00CB4FA3" w:rsidRPr="00CB4FA3" w:rsidRDefault="00CB4FA3" w:rsidP="00CB4FA3">
      <w:pPr>
        <w:spacing w:after="0" w:line="240" w:lineRule="auto"/>
        <w:ind w:firstLine="709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Выполнение поставленных задач в соответствии с основными принципами   их решения осуществляется поэтапно и основывается на реализации    комплексов  первоочередных  и долгосрочных мероприятий.</w:t>
      </w:r>
    </w:p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0"/>
          <w:szCs w:val="20"/>
          <w:lang w:eastAsia="ru-RU"/>
        </w:rPr>
      </w:pPr>
    </w:p>
    <w:p w:rsidR="00CB4FA3" w:rsidRPr="00CB4FA3" w:rsidRDefault="00CB4FA3" w:rsidP="00CB4FA3">
      <w:pPr>
        <w:spacing w:after="0" w:line="240" w:lineRule="auto"/>
        <w:ind w:firstLine="709"/>
        <w:rPr>
          <w:rFonts w:ascii="Trebuchet MS" w:eastAsia="Times New Roman" w:hAnsi="Trebuchet MS" w:cs="Times New Roman"/>
          <w:color w:val="030000"/>
          <w:sz w:val="26"/>
          <w:szCs w:val="26"/>
          <w:lang w:eastAsia="ru-RU"/>
        </w:rPr>
      </w:pPr>
    </w:p>
    <w:tbl>
      <w:tblPr>
        <w:tblW w:w="10281" w:type="dxa"/>
        <w:tblCellSpacing w:w="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9"/>
        <w:gridCol w:w="4222"/>
        <w:gridCol w:w="1276"/>
        <w:gridCol w:w="1418"/>
        <w:gridCol w:w="1275"/>
        <w:gridCol w:w="1701"/>
      </w:tblGrid>
      <w:tr w:rsidR="00CB4FA3" w:rsidRPr="00CB4FA3" w:rsidTr="00CB4FA3">
        <w:trPr>
          <w:gridAfter w:val="4"/>
          <w:wAfter w:w="5670" w:type="dxa"/>
          <w:trHeight w:val="276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CB4FA3" w:rsidRPr="00CB4FA3" w:rsidTr="00CB4FA3">
        <w:trPr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 xml:space="preserve">Реконструкция артезианской скважины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450,0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Ремонт  водопровода с заменой водоразборных колонок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Проведение технических водопроводов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color w:val="030000"/>
                <w:sz w:val="24"/>
                <w:szCs w:val="24"/>
                <w:lang w:eastAsia="ru-RU"/>
              </w:rPr>
              <w:t>Установка дополнительных гидрантов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 развития сетей наружного освещения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ст-цыТепикинской</w:t>
            </w:r>
            <w:proofErr w:type="spell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4FA3" w:rsidRPr="00CB4FA3" w:rsidTr="00CB4FA3">
        <w:trPr>
          <w:trHeight w:val="973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 развития сетей наружного освещения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олговский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Установка и монтаж уличного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освещениявст-цеТепикинской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4FA3" w:rsidRPr="00CB4FA3" w:rsidTr="00CB4FA3">
        <w:trPr>
          <w:trHeight w:val="375"/>
          <w:tblCellSpacing w:w="0" w:type="dxa"/>
        </w:trPr>
        <w:tc>
          <w:tcPr>
            <w:tcW w:w="38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Установка и монтаж уличного освещения в </w:t>
            </w:r>
            <w:proofErr w:type="spellStart"/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х.Долговский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4F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410,0</w:t>
            </w:r>
          </w:p>
        </w:tc>
      </w:tr>
      <w:tr w:rsidR="00CB4FA3" w:rsidRPr="00CB4FA3" w:rsidTr="00CB4FA3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795,0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8500,0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FA3" w:rsidRPr="00CB4FA3" w:rsidRDefault="00CB4FA3" w:rsidP="00CB4FA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CB4FA3">
              <w:rPr>
                <w:rFonts w:eastAsia="Times New Roman" w:cs="Times New Roman"/>
                <w:b/>
                <w:szCs w:val="28"/>
                <w:lang w:eastAsia="ru-RU"/>
              </w:rPr>
              <w:t>2345,0</w:t>
            </w:r>
          </w:p>
        </w:tc>
      </w:tr>
    </w:tbl>
    <w:p w:rsidR="003B39B3" w:rsidRDefault="003B39B3" w:rsidP="003B39B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</w:p>
    <w:p w:rsidR="003B39B3" w:rsidRDefault="003B39B3" w:rsidP="003B39B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</w:p>
    <w:p w:rsidR="003B39B3" w:rsidRDefault="003B39B3" w:rsidP="003B39B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>
        <w:rPr>
          <w:rFonts w:eastAsia="Times New Roman" w:cs="Times New Roman"/>
          <w:color w:val="030000"/>
          <w:szCs w:val="28"/>
          <w:lang w:eastAsia="ru-RU"/>
        </w:rPr>
        <w:t xml:space="preserve">         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>Данной Пр</w:t>
      </w:r>
      <w:r>
        <w:rPr>
          <w:rFonts w:eastAsia="Times New Roman" w:cs="Times New Roman"/>
          <w:color w:val="030000"/>
          <w:szCs w:val="28"/>
          <w:lang w:eastAsia="ru-RU"/>
        </w:rPr>
        <w:t xml:space="preserve">ограммой определены оптимальные 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>варианты модернизации  коммунальной инфраструктуры </w:t>
      </w:r>
      <w:proofErr w:type="spellStart"/>
      <w:r w:rsidR="00CB4FA3" w:rsidRPr="00CB4FA3">
        <w:rPr>
          <w:rFonts w:eastAsia="Times New Roman" w:cs="Times New Roman"/>
          <w:color w:val="030000"/>
          <w:szCs w:val="28"/>
          <w:lang w:eastAsia="ru-RU"/>
        </w:rPr>
        <w:t>Акчернского</w:t>
      </w:r>
      <w:proofErr w:type="spellEnd"/>
      <w:r w:rsidR="00CB4FA3" w:rsidRPr="00CB4FA3">
        <w:rPr>
          <w:rFonts w:eastAsia="Times New Roman" w:cs="Times New Roman"/>
          <w:color w:val="030000"/>
          <w:szCs w:val="28"/>
          <w:lang w:eastAsia="ru-RU"/>
        </w:rPr>
        <w:t xml:space="preserve">  сельского поселения,    направ</w:t>
      </w:r>
      <w:r>
        <w:rPr>
          <w:rFonts w:eastAsia="Times New Roman" w:cs="Times New Roman"/>
          <w:color w:val="030000"/>
          <w:szCs w:val="28"/>
          <w:lang w:eastAsia="ru-RU"/>
        </w:rPr>
        <w:t>ленные на достижение финансово-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>сбалансирова</w:t>
      </w:r>
      <w:r>
        <w:rPr>
          <w:rFonts w:eastAsia="Times New Roman" w:cs="Times New Roman"/>
          <w:color w:val="030000"/>
          <w:szCs w:val="28"/>
          <w:lang w:eastAsia="ru-RU"/>
        </w:rPr>
        <w:t xml:space="preserve">нного состояния, при котором </w:t>
      </w:r>
      <w:r w:rsidR="00CB4FA3" w:rsidRPr="00CB4FA3">
        <w:rPr>
          <w:rFonts w:eastAsia="Times New Roman" w:cs="Times New Roman"/>
          <w:color w:val="030000"/>
          <w:szCs w:val="28"/>
          <w:lang w:eastAsia="ru-RU"/>
        </w:rPr>
        <w:t xml:space="preserve">поселение содержит и развивает инфраструктуру за счет собственных средств, не используя (или </w:t>
      </w:r>
      <w:proofErr w:type="spellStart"/>
      <w:r w:rsidR="00CB4FA3" w:rsidRPr="00CB4FA3">
        <w:rPr>
          <w:rFonts w:eastAsia="Times New Roman" w:cs="Times New Roman"/>
          <w:color w:val="030000"/>
          <w:szCs w:val="28"/>
          <w:lang w:eastAsia="ru-RU"/>
        </w:rPr>
        <w:t>минимизируя</w:t>
      </w:r>
      <w:proofErr w:type="spellEnd"/>
      <w:r w:rsidR="00CB4FA3" w:rsidRPr="00CB4FA3">
        <w:rPr>
          <w:rFonts w:eastAsia="Times New Roman" w:cs="Times New Roman"/>
          <w:color w:val="030000"/>
          <w:szCs w:val="28"/>
          <w:lang w:eastAsia="ru-RU"/>
        </w:rPr>
        <w:t xml:space="preserve">) помощь вышестоящих бюджетов.   </w:t>
      </w:r>
    </w:p>
    <w:p w:rsidR="00CB4FA3" w:rsidRPr="00CB4FA3" w:rsidRDefault="00CB4FA3" w:rsidP="003B39B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Таким   образом</w:t>
      </w:r>
      <w:r w:rsidR="003B39B3">
        <w:rPr>
          <w:rFonts w:eastAsia="Times New Roman" w:cs="Times New Roman"/>
          <w:color w:val="030000"/>
          <w:szCs w:val="28"/>
          <w:lang w:eastAsia="ru-RU"/>
        </w:rPr>
        <w:t>,</w:t>
      </w:r>
      <w:r w:rsidRPr="00CB4FA3">
        <w:rPr>
          <w:rFonts w:eastAsia="Times New Roman" w:cs="Times New Roman"/>
          <w:color w:val="030000"/>
          <w:szCs w:val="28"/>
          <w:lang w:eastAsia="ru-RU"/>
        </w:rPr>
        <w:t>   приводятся   в   соответствие   уровень   технического   благоустройства поселений и уровень их социально-экономического развития.</w:t>
      </w:r>
    </w:p>
    <w:p w:rsidR="00CB4FA3" w:rsidRPr="00CB4FA3" w:rsidRDefault="00CB4FA3" w:rsidP="00CB4FA3">
      <w:pPr>
        <w:spacing w:after="0" w:line="240" w:lineRule="auto"/>
        <w:rPr>
          <w:rFonts w:eastAsia="Times New Roman" w:cs="Times New Roman"/>
          <w:color w:val="030000"/>
          <w:szCs w:val="28"/>
          <w:lang w:eastAsia="ru-RU"/>
        </w:rPr>
      </w:pPr>
      <w:r w:rsidRPr="00CB4FA3">
        <w:rPr>
          <w:rFonts w:eastAsia="Times New Roman" w:cs="Times New Roman"/>
          <w:color w:val="030000"/>
          <w:szCs w:val="28"/>
          <w:lang w:eastAsia="ru-RU"/>
        </w:rPr>
        <w:t>                 </w:t>
      </w:r>
      <w:bookmarkStart w:id="0" w:name="_GoBack"/>
      <w:bookmarkEnd w:id="0"/>
    </w:p>
    <w:sectPr w:rsidR="00CB4FA3" w:rsidRPr="00CB4FA3" w:rsidSect="00B027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2BA"/>
    <w:multiLevelType w:val="hybridMultilevel"/>
    <w:tmpl w:val="EE66555E"/>
    <w:lvl w:ilvl="0" w:tplc="67BCFF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03F3"/>
    <w:multiLevelType w:val="hybridMultilevel"/>
    <w:tmpl w:val="40F8F784"/>
    <w:lvl w:ilvl="0" w:tplc="E63633B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44839"/>
    <w:multiLevelType w:val="multilevel"/>
    <w:tmpl w:val="824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4FA3"/>
    <w:rsid w:val="003B39B3"/>
    <w:rsid w:val="00725012"/>
    <w:rsid w:val="00736F3B"/>
    <w:rsid w:val="00820B7D"/>
    <w:rsid w:val="00B02785"/>
    <w:rsid w:val="00C05838"/>
    <w:rsid w:val="00CB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3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84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akchernya adm</dc:creator>
  <cp:keywords/>
  <dc:description/>
  <cp:lastModifiedBy>Специалист</cp:lastModifiedBy>
  <cp:revision>2</cp:revision>
  <dcterms:created xsi:type="dcterms:W3CDTF">2014-04-10T11:43:00Z</dcterms:created>
  <dcterms:modified xsi:type="dcterms:W3CDTF">2014-04-11T04:26:00Z</dcterms:modified>
</cp:coreProperties>
</file>